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T.C.</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SİVAS CUMHURİYET ÜNİVERSİTESİ</w:t>
      </w:r>
    </w:p>
    <w:p w:rsidR="00CD663E" w:rsidRPr="00340155" w:rsidRDefault="00CD663E" w:rsidP="00CD663E">
      <w:pPr>
        <w:jc w:val="center"/>
        <w:rPr>
          <w:rFonts w:ascii="Times New Roman" w:hAnsi="Times New Roman" w:cs="Times New Roman"/>
          <w:sz w:val="24"/>
          <w:szCs w:val="24"/>
        </w:rPr>
      </w:pPr>
      <w:r w:rsidRPr="00340155">
        <w:rPr>
          <w:rFonts w:ascii="Times New Roman" w:hAnsi="Times New Roman" w:cs="Times New Roman"/>
          <w:b/>
          <w:sz w:val="24"/>
          <w:szCs w:val="24"/>
        </w:rPr>
        <w:t>İMRANLI MESLEK YÜKSEKOKULU</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UYGULAMALI EĞİTİM/ STAJ SÖZLEŞMESİ</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GENEL HÜKÜMLER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1-</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Bu sözleşme, 3308 sayılı Mesleki Eğitim Kanununa uygun olarak, öğrencilerin işletmelerde yapılacak iş yeri stajının esaslarını düzenlemek amacıyla, işveren ve öğrenci arasında imzalanır.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2-</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Üç nüsha olarak düzenlenen ve taraflarca imzalanan bu sözleşmenin, bir nüshası ilgili Fakülte/Yüksekokul Dekanlığında, MYO Müdürlüğünde, bir nüshası işletmede ve bir nüshası öğrencide bulunur.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3-</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İşletmelerde iş yeri stajı, Sivas Cumhuriyet Üniversitesine bağlı bölümlerin Uygulamalı eğitimler Yönergesine göre planlanır ve yapılır.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 xml:space="preserve">MADDE 4- </w:t>
      </w:r>
      <w:r w:rsidR="00472E6D" w:rsidRPr="00340155">
        <w:rPr>
          <w:rFonts w:ascii="Times New Roman" w:hAnsi="Times New Roman" w:cs="Times New Roman"/>
          <w:sz w:val="24"/>
          <w:szCs w:val="24"/>
        </w:rPr>
        <w:t>(1)</w:t>
      </w:r>
      <w:r w:rsidR="00472E6D" w:rsidRPr="00340155">
        <w:rPr>
          <w:rFonts w:ascii="Times New Roman" w:hAnsi="Times New Roman" w:cs="Times New Roman"/>
          <w:b/>
          <w:sz w:val="24"/>
          <w:szCs w:val="24"/>
        </w:rPr>
        <w:t xml:space="preserve"> </w:t>
      </w:r>
      <w:r w:rsidRPr="00340155">
        <w:rPr>
          <w:rFonts w:ascii="Times New Roman" w:hAnsi="Times New Roman" w:cs="Times New Roman"/>
          <w:sz w:val="24"/>
          <w:szCs w:val="24"/>
        </w:rPr>
        <w:t>Öğrencilerin iş yeri stajı sırasında, iş yeri kusurundan dolayı meydana gelebilecek iş kazaları ve meslek hastalıklarından işveren /işveren vekili sorumludur.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5-</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İşletmelerde iş yeri stajı, Sivas Cumhuriyet Üniversitesi Uygulamalı eğitimler Yönergesi ve 3308 sayılı Mesleki Eğitim Kanunu hükümlerine göre yürütülür.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6-</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Sivas Cumhuriyet Üniversitesine bağlı bölümlerin Uygulamalı eğitimler yönergesine uygun olarak stajın başladığı tarihten itibaren yürürlüğe girmek üzere taraflarca imzalanan bu sözleşme, öğrencilerin iş yeri stajını tamamladığı tarihe kadar geçerlidir.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SÖZLEŞMENİN FESHİ</w:t>
      </w:r>
    </w:p>
    <w:p w:rsidR="00D7566D" w:rsidRPr="00340155" w:rsidRDefault="00D7566D" w:rsidP="00472E6D">
      <w:pPr>
        <w:ind w:firstLine="360"/>
        <w:jc w:val="both"/>
        <w:rPr>
          <w:rFonts w:ascii="Times New Roman" w:hAnsi="Times New Roman" w:cs="Times New Roman"/>
          <w:sz w:val="24"/>
          <w:szCs w:val="24"/>
        </w:rPr>
      </w:pPr>
      <w:r w:rsidRPr="00340155">
        <w:rPr>
          <w:rFonts w:ascii="Times New Roman" w:hAnsi="Times New Roman" w:cs="Times New Roman"/>
          <w:b/>
          <w:sz w:val="24"/>
          <w:szCs w:val="24"/>
        </w:rPr>
        <w:t>MADDE 7-</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Sözleşme</w:t>
      </w:r>
      <w:r w:rsidR="00472E6D" w:rsidRPr="00340155">
        <w:rPr>
          <w:rFonts w:ascii="Times New Roman" w:hAnsi="Times New Roman" w:cs="Times New Roman"/>
          <w:sz w:val="24"/>
          <w:szCs w:val="24"/>
        </w:rPr>
        <w:t xml:space="preserve"> aşağıdaki şartların oluşması halinde </w:t>
      </w:r>
      <w:r w:rsidR="00472E6D" w:rsidRPr="00340155">
        <w:rPr>
          <w:rFonts w:ascii="Times New Roman" w:hAnsi="Times New Roman" w:cs="Times New Roman"/>
          <w:sz w:val="24"/>
          <w:szCs w:val="24"/>
        </w:rPr>
        <w:t>feshedilir</w:t>
      </w:r>
      <w:r w:rsidRPr="00340155">
        <w:rPr>
          <w:rFonts w:ascii="Times New Roman" w:hAnsi="Times New Roman" w:cs="Times New Roman"/>
          <w:sz w:val="24"/>
          <w:szCs w:val="24"/>
        </w:rPr>
        <w:t>;</w:t>
      </w:r>
    </w:p>
    <w:p w:rsidR="00472E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İş yerinin çeşitli sebeplerle kapatılması,</w:t>
      </w:r>
    </w:p>
    <w:p w:rsidR="00472E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İş yeri sahibinin değişmesi halinde yeni iş yerinin aynı mesleği/üretimi sürdürememesi,</w:t>
      </w:r>
    </w:p>
    <w:p w:rsidR="00D756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Öğrencilerin Yükseköğretim Kurumlan Öğrenci Disiplin Yönetmeliği hükümlerine göre uzaklaştırma cezası aldığı sürece veya çıkarma cezası alarak ilişiğinin kesilmesi durumunda.</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ÜCRET VE İZİN</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 xml:space="preserve">MADDE 8- </w:t>
      </w:r>
      <w:r w:rsidR="00472E6D" w:rsidRPr="00340155">
        <w:rPr>
          <w:rFonts w:ascii="Times New Roman" w:hAnsi="Times New Roman" w:cs="Times New Roman"/>
          <w:sz w:val="24"/>
          <w:szCs w:val="24"/>
        </w:rPr>
        <w:t>(1)</w:t>
      </w:r>
      <w:r w:rsidR="00472E6D" w:rsidRPr="00340155">
        <w:rPr>
          <w:rFonts w:ascii="Times New Roman" w:hAnsi="Times New Roman" w:cs="Times New Roman"/>
          <w:b/>
          <w:sz w:val="24"/>
          <w:szCs w:val="24"/>
        </w:rPr>
        <w:t xml:space="preserve"> </w:t>
      </w:r>
      <w:r w:rsidRPr="00340155">
        <w:rPr>
          <w:rFonts w:ascii="Times New Roman" w:hAnsi="Times New Roman" w:cs="Times New Roman"/>
          <w:sz w:val="24"/>
          <w:szCs w:val="24"/>
        </w:rPr>
        <w:t xml:space="preserve">İşletme kendi staj yönerge ve politikasına bağlı olarak öğrenciye ücret ödemesi yapabilir. </w:t>
      </w:r>
      <w:proofErr w:type="gramStart"/>
      <w:r w:rsidRPr="00340155">
        <w:rPr>
          <w:rFonts w:ascii="Times New Roman" w:hAnsi="Times New Roman" w:cs="Times New Roman"/>
          <w:sz w:val="24"/>
          <w:szCs w:val="24"/>
        </w:rPr>
        <w:t xml:space="preserve">3308 sayılı Mesleki Eğitim Kanunun 18. Maddesi gereğince mesleki eğitim gören ve staj hükümleri uyarınca işletmelerde veya tamamlayıcı eğitime devam eden öğrencilere, 25. maddenin birinci fıkrasına göre öğrencilere yürürlükteki aylık asgari ücret net tutarının, yirmi ve üzerinde personel çalıştıran iş yerlerinde %30’undan, yirmiden az personel çalıştıran iş yerlerinde %15’inden az olmamak üzere ücret ödenir. </w:t>
      </w:r>
      <w:proofErr w:type="gramEnd"/>
      <w:r w:rsidRPr="00340155">
        <w:rPr>
          <w:rFonts w:ascii="Times New Roman" w:hAnsi="Times New Roman" w:cs="Times New Roman"/>
          <w:sz w:val="24"/>
          <w:szCs w:val="24"/>
        </w:rPr>
        <w:t>Öğrenciye ödenecek ücret, her türlü vergiden muaftır.</w:t>
      </w:r>
    </w:p>
    <w:p w:rsidR="00D7566D" w:rsidRPr="00340155" w:rsidRDefault="00472E6D" w:rsidP="00472E6D">
      <w:pPr>
        <w:ind w:firstLine="708"/>
        <w:jc w:val="both"/>
        <w:rPr>
          <w:rFonts w:ascii="Times New Roman" w:hAnsi="Times New Roman" w:cs="Times New Roman"/>
          <w:sz w:val="24"/>
          <w:szCs w:val="24"/>
        </w:rPr>
      </w:pPr>
      <w:proofErr w:type="gramStart"/>
      <w:r w:rsidRPr="00340155">
        <w:rPr>
          <w:rFonts w:ascii="Times New Roman" w:hAnsi="Times New Roman" w:cs="Times New Roman"/>
          <w:sz w:val="24"/>
          <w:szCs w:val="24"/>
        </w:rPr>
        <w:t xml:space="preserve">(2) </w:t>
      </w:r>
      <w:r w:rsidR="00D7566D" w:rsidRPr="00340155">
        <w:rPr>
          <w:rFonts w:ascii="Times New Roman" w:hAnsi="Times New Roman" w:cs="Times New Roman"/>
          <w:sz w:val="24"/>
          <w:szCs w:val="24"/>
        </w:rPr>
        <w:t xml:space="preserve">10.02.2017 tarihinde imzalanan ve yürürlüğe giren, “3308 Sayılı Mesleki Eğitim Kanununa göre İşletmelerde Mesleki Eğitim Gören Öğrencilerin Ücretlerinin Bir Kısmının </w:t>
      </w:r>
      <w:r w:rsidR="00D7566D" w:rsidRPr="00340155">
        <w:rPr>
          <w:rFonts w:ascii="Times New Roman" w:hAnsi="Times New Roman" w:cs="Times New Roman"/>
          <w:sz w:val="24"/>
          <w:szCs w:val="24"/>
        </w:rPr>
        <w:lastRenderedPageBreak/>
        <w:t xml:space="preserve">İşsizlik Fonundan Karşılanmasına İlişkin Usul ve </w:t>
      </w:r>
      <w:proofErr w:type="spellStart"/>
      <w:r w:rsidR="00D7566D" w:rsidRPr="00340155">
        <w:rPr>
          <w:rFonts w:ascii="Times New Roman" w:hAnsi="Times New Roman" w:cs="Times New Roman"/>
          <w:sz w:val="24"/>
          <w:szCs w:val="24"/>
        </w:rPr>
        <w:t>Esaslar”ın</w:t>
      </w:r>
      <w:proofErr w:type="spellEnd"/>
      <w:r w:rsidR="00D7566D" w:rsidRPr="00340155">
        <w:rPr>
          <w:rFonts w:ascii="Times New Roman" w:hAnsi="Times New Roman" w:cs="Times New Roman"/>
          <w:sz w:val="24"/>
          <w:szCs w:val="24"/>
        </w:rPr>
        <w:t xml:space="preserve"> 4.maddesinin 7. 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roofErr w:type="gramEnd"/>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SİGORTA</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9-</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Öğrencilere, bu sözleşmenin akdedilmesiyle işletmelerde iş yeri stajına devam ettikleri sürece 5510 sayılı Sosyal Sigortalar Kanunu’nun 4’üncü maddesinin birinci fıkrasının (a) bendine göre iş kazası ve meslek hastalığı sigortası, Sivas Cumhuriyet Üniversitesi tarafından yapılır.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10-</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Sivas Cumhuriyet Üniversitesi ilgili Fakülte/Yüksekokul Dekanlığınca, MYO Müdürlüğünce ödenmesi gereken sigorta primleri, Sosyal Güvenlik Kurumunun belirlediği oranlara göre, Sosyal Güvenlik Kurumuna ödenir veya bu Kurumun hesabına aktarılır.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11-</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Sigorta ve prim ödemeyle ilgili belgeler, Sivas Cumhuriyet Üniversitesi ilgili Fakülte/Yüksekokul Dekanlığınca, MYO Müdürlüğünce saklanır.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ÖĞRENCİNİN DİSİPLİN, DEVAM VE BAŞARI DURUMU</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12-</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Öğrencilerin uygulamalı eğitim süresince SCÜ Uygulamalı Eğitimler yönergesinde yer alan devam zorunluluğunu yerine getirmeleri gerekir.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13-</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Öğrenciler, iş yeri stajı için işletmelere devam etmek zorundadırlar. İşletmelerde iş yeri stajına mazeretsiz olarak devam etmeyen öğrencilerin ücretleri kesilir. Bu konuda işletmeler yetkilidir.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14-</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 yetkilileri, mazeretsiz olarak üç (3) iş günü uygulama eğitimine gelmeyen öğrenci bilgilerini, en geç beş (5) iş günü içinde Sivas Cumhuriyet ilgili Fakülte/Yüksekokul Dekanlığına, MYO Müdürlüğüne bildirir.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15-</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Öğrencilerin işletmelerde disiplin soruşturmasını gerektirecek davranışlarda bulunmaları halinde, bu durum işletme tarafından Sivas Cumhuriyet Üniversitesi ilgili Fakülte/Yüksekokul Dekanlığına, MYO Müdürlüğüne yazılı olarak bildirilir. Disiplin işlemi, Fakülte Dekanlığı tarafından Yükseköğretim Kurumları Öğrenci Disiplin Yönetmeliği hükümlerine göre yürütülür. Sonuç, işletmeye yazılı olarak bildirilir.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16-</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İşletmelerde Uygulamalı eğitim yapan öğrencilerin başarı durumu, Sivas Cumhuriyet Üniversitesi Uygulamalı Eğitimler Yönergesi hükümlerine göre belirlenir.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TARAFLARIN DİĞER GÖREV VE SORUMLULUKLARI</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17-</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Uygulamalı eğitim/staj yaptıracak işletmelerin sorumlulukları:</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Öğrencilerin işletmedeki uygulamalı eğitimini Sivas Cumhuriyet Üniversitesine bağlı Bölümlerin/Programların SCÜ Uygulamalı Eğitimler Yönergesine uygun olarak yaptırmak.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lastRenderedPageBreak/>
        <w:t>Öğrencilerin devam durumlarını izleyerek devamsızlıklarını ve hastalık izinlerini, süresi içinde ilgili Dekanlığa /Müdüre bildirmek,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 yapılacak programlarda, öğrenci sayısına bağlı olarak yeter sayıda sorumlu eğitim personelini görevlendirmek,</w:t>
      </w:r>
    </w:p>
    <w:p w:rsidR="00472E6D" w:rsidRPr="00340155" w:rsidRDefault="00CD663E"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Öğrencilerin stajına ait bilgileri içeren formlar staj bitiminde kapalı zarf içinde Sivas Cumhuriyet Üniversitesi Fakülte/Yüksekokul/MYO adresine veya imzalanan ve kaşelenen formları kapalı zarf içerisinde öğrenciye vermek,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 yapan öğrencilere devamsızlıktan sayılmak ve mevzuatla belirlenen azami devamsızlık süresini geçmemek üzere, ücretsiz mazeret izni vermek,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eğitime başladıktan sonra personel sayısında azalma olması durumunda da staja başlamış olan öğrencileri, stajı tamamlanıncaya kadar eğitime devam ettirmek,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Öğrencilerin iş kazaları ve meslek hastalıklarından korunması için gerekli önlemleri almak ve tedavileri için gerekli işlemleri yapmak. İş kazası kapsamında değerlendirilen ve tutanak altına alınan olay meydana geldiğinde kaza tutanağı ile iş kazası ve meslek hastalığı bildirim formunun 3 (üç) iş günü içinde staj yapılan birimin/ünite/saha/alan/hastane/</w:t>
      </w:r>
      <w:proofErr w:type="spellStart"/>
      <w:r w:rsidRPr="00340155">
        <w:rPr>
          <w:rFonts w:ascii="Times New Roman" w:hAnsi="Times New Roman" w:cs="Times New Roman"/>
          <w:sz w:val="24"/>
          <w:szCs w:val="24"/>
        </w:rPr>
        <w:t>fabrika’nın</w:t>
      </w:r>
      <w:proofErr w:type="spellEnd"/>
      <w:r w:rsidRPr="00340155">
        <w:rPr>
          <w:rFonts w:ascii="Times New Roman" w:hAnsi="Times New Roman" w:cs="Times New Roman"/>
          <w:sz w:val="24"/>
          <w:szCs w:val="24"/>
        </w:rPr>
        <w:t xml:space="preserve"> bağlı bulunduğu sosyal güvenlik kurumuna bildirilerek kayıt altına alınmasını sağlamak.</w:t>
      </w:r>
    </w:p>
    <w:p w:rsidR="00D756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İşletmede iş yeri stajı yapan öğrencilere, 3308 sayılı Kanunun 25. maddesi birinci fıkrasına göre ücret miktarı, ücret artışı vb. konularda iş yeri uygulamalı eğitim sözleşmesi imzalamak.</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18-</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Uygulamalı eğitimi gören öğrencilerin görev ve sorumlulukları:</w:t>
      </w:r>
    </w:p>
    <w:p w:rsidR="00472E6D" w:rsidRPr="00340155" w:rsidRDefault="00D7566D"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İş yerinin şartlarına ve çalışma düzenine uymak,</w:t>
      </w:r>
    </w:p>
    <w:p w:rsidR="00472E6D" w:rsidRPr="00340155" w:rsidRDefault="00CD663E"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İş yerine ait özel bilgileri üçüncü şahıslara iletmemek,</w:t>
      </w:r>
    </w:p>
    <w:p w:rsidR="00472E6D" w:rsidRPr="00340155" w:rsidRDefault="00D7566D"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Sendikal etkinliklere katılmamak,</w:t>
      </w:r>
    </w:p>
    <w:p w:rsidR="00472E6D" w:rsidRPr="00340155" w:rsidRDefault="00CD663E"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021444">
        <w:rPr>
          <w:rFonts w:ascii="Times New Roman" w:hAnsi="Times New Roman" w:cs="Times New Roman"/>
          <w:sz w:val="24"/>
          <w:szCs w:val="24"/>
        </w:rPr>
        <w:t>İş yeri staj</w:t>
      </w:r>
      <w:r w:rsidR="00D7566D" w:rsidRPr="00340155">
        <w:rPr>
          <w:rFonts w:ascii="Times New Roman" w:hAnsi="Times New Roman" w:cs="Times New Roman"/>
          <w:sz w:val="24"/>
          <w:szCs w:val="24"/>
        </w:rPr>
        <w:t>ına düzenli olarak devam etmek,</w:t>
      </w:r>
    </w:p>
    <w:p w:rsidR="00472E6D" w:rsidRPr="00340155" w:rsidRDefault="00021444" w:rsidP="00AB56A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 yeri staj</w:t>
      </w:r>
      <w:r w:rsidR="00D7566D" w:rsidRPr="00340155">
        <w:rPr>
          <w:rFonts w:ascii="Times New Roman" w:hAnsi="Times New Roman" w:cs="Times New Roman"/>
          <w:sz w:val="24"/>
          <w:szCs w:val="24"/>
        </w:rPr>
        <w:t>ı dosyasını tutmak ve ilgili formları doldurmak,</w:t>
      </w:r>
    </w:p>
    <w:p w:rsidR="00D7566D" w:rsidRPr="00340155" w:rsidRDefault="00CD663E" w:rsidP="00AB56A5">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proofErr w:type="gramStart"/>
      <w:r w:rsidR="00D7566D" w:rsidRPr="00340155">
        <w:rPr>
          <w:rFonts w:ascii="Times New Roman" w:hAnsi="Times New Roman" w:cs="Times New Roman"/>
          <w:sz w:val="24"/>
          <w:szCs w:val="24"/>
        </w:rPr>
        <w:t>İş kazası kapsamında değerlendirilen ve tutanak altına alınan olay meydana geldiğinde kaza tutanağı ile iş kazası ve meslek hastalığı bildirim formunun 3 (üç) iş günü içinde staj yapılan birimin/ünite/saha/alan/hastane/</w:t>
      </w:r>
      <w:proofErr w:type="spellStart"/>
      <w:r w:rsidR="00D7566D" w:rsidRPr="00340155">
        <w:rPr>
          <w:rFonts w:ascii="Times New Roman" w:hAnsi="Times New Roman" w:cs="Times New Roman"/>
          <w:sz w:val="24"/>
          <w:szCs w:val="24"/>
        </w:rPr>
        <w:t>fabrika’nın</w:t>
      </w:r>
      <w:proofErr w:type="spellEnd"/>
      <w:r w:rsidR="00D7566D" w:rsidRPr="00340155">
        <w:rPr>
          <w:rFonts w:ascii="Times New Roman" w:hAnsi="Times New Roman" w:cs="Times New Roman"/>
          <w:sz w:val="24"/>
          <w:szCs w:val="24"/>
        </w:rPr>
        <w:t xml:space="preserve"> bağlı bulunduğu sosyal güvenlik kurumuna iletilmesi konusunda staj birimini uyarmak ve Sivas Cumhuriyet Üniversitesi ilgili Fakülte</w:t>
      </w: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Dekanlığına/Yüksekokul/MYO müdürüne kaza tutanağı ile iş kazası ve meslek hastalığı bildirim formunun aynı gün içinde ulaştırılmasını sağlamak.</w:t>
      </w:r>
      <w:proofErr w:type="gramEnd"/>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DİĞER HUSUSLAR</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19-</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İşletmelerde uygulamalı eğitim/staj yapan öğrenciler hakkında bu sözleşmede yer almayan diğer hususlarda, ilgili mevzuat hükümlerine göre işlem yapılır.</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20-</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 tarafından öğrenciye aşağıdaki sosyal haklar sağlanacaktır:</w:t>
      </w:r>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t>a</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t>b</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r w:rsidR="00472E6D" w:rsidRPr="00340155">
        <w:rPr>
          <w:rFonts w:ascii="Times New Roman" w:hAnsi="Times New Roman" w:cs="Times New Roman"/>
          <w:sz w:val="24"/>
          <w:szCs w:val="24"/>
        </w:rPr>
        <w:tab/>
      </w:r>
      <w:r w:rsidRPr="00340155">
        <w:rPr>
          <w:rFonts w:ascii="Times New Roman" w:hAnsi="Times New Roman" w:cs="Times New Roman"/>
          <w:sz w:val="24"/>
          <w:szCs w:val="24"/>
        </w:rPr>
        <w:tab/>
      </w:r>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t>c</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p>
    <w:p w:rsidR="00D7566D" w:rsidRPr="00340155" w:rsidRDefault="00472E6D" w:rsidP="00D7566D">
      <w:pPr>
        <w:rPr>
          <w:rFonts w:ascii="Times New Roman" w:hAnsi="Times New Roman" w:cs="Times New Roman"/>
          <w:sz w:val="24"/>
          <w:szCs w:val="24"/>
        </w:rPr>
      </w:pPr>
      <w:r w:rsidRPr="00340155">
        <w:rPr>
          <w:rFonts w:ascii="Times New Roman" w:hAnsi="Times New Roman" w:cs="Times New Roman"/>
          <w:sz w:val="24"/>
          <w:szCs w:val="24"/>
        </w:rPr>
        <w:lastRenderedPageBreak/>
        <w:t>ç</w:t>
      </w:r>
      <w:r w:rsidRPr="00340155">
        <w:rPr>
          <w:rFonts w:ascii="Times New Roman" w:hAnsi="Times New Roman" w:cs="Times New Roman"/>
          <w:sz w:val="24"/>
          <w:szCs w:val="24"/>
        </w:rPr>
        <w:t xml:space="preserve">) </w:t>
      </w:r>
      <w:proofErr w:type="gramStart"/>
      <w:r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r w:rsidR="00D7566D" w:rsidRPr="00340155">
        <w:rPr>
          <w:rFonts w:ascii="Times New Roman" w:hAnsi="Times New Roman" w:cs="Times New Roman"/>
          <w:sz w:val="24"/>
          <w:szCs w:val="24"/>
        </w:rPr>
        <w:tab/>
      </w:r>
    </w:p>
    <w:p w:rsidR="00D7566D" w:rsidRPr="00340155" w:rsidRDefault="00472E6D" w:rsidP="00D7566D">
      <w:pPr>
        <w:rPr>
          <w:rFonts w:ascii="Times New Roman" w:hAnsi="Times New Roman" w:cs="Times New Roman"/>
          <w:sz w:val="24"/>
          <w:szCs w:val="24"/>
        </w:rPr>
      </w:pPr>
      <w:r w:rsidRPr="00340155">
        <w:rPr>
          <w:rFonts w:ascii="Times New Roman" w:hAnsi="Times New Roman" w:cs="Times New Roman"/>
          <w:sz w:val="24"/>
          <w:szCs w:val="24"/>
        </w:rPr>
        <w:t>d</w:t>
      </w:r>
      <w:r w:rsidRPr="00340155">
        <w:rPr>
          <w:rFonts w:ascii="Times New Roman" w:hAnsi="Times New Roman" w:cs="Times New Roman"/>
          <w:sz w:val="24"/>
          <w:szCs w:val="24"/>
        </w:rPr>
        <w:t xml:space="preserve">) </w:t>
      </w:r>
      <w:proofErr w:type="gramStart"/>
      <w:r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p>
    <w:tbl>
      <w:tblPr>
        <w:tblStyle w:val="TabloKlavuzu"/>
        <w:tblW w:w="0" w:type="auto"/>
        <w:tblInd w:w="-5" w:type="dxa"/>
        <w:tblLook w:val="04A0" w:firstRow="1" w:lastRow="0" w:firstColumn="1" w:lastColumn="0" w:noHBand="0" w:noVBand="1"/>
      </w:tblPr>
      <w:tblGrid>
        <w:gridCol w:w="4531"/>
        <w:gridCol w:w="4531"/>
      </w:tblGrid>
      <w:tr w:rsidR="00AB56A5" w:rsidRPr="00340155" w:rsidTr="00AB56A5">
        <w:trPr>
          <w:trHeight w:val="586"/>
        </w:trPr>
        <w:tc>
          <w:tcPr>
            <w:tcW w:w="4531" w:type="dxa"/>
          </w:tcPr>
          <w:p w:rsidR="00AB56A5" w:rsidRPr="00340155" w:rsidRDefault="00AB56A5" w:rsidP="00FD62E7">
            <w:pPr>
              <w:rPr>
                <w:rFonts w:ascii="Times New Roman" w:hAnsi="Times New Roman" w:cs="Times New Roman"/>
                <w:sz w:val="24"/>
                <w:szCs w:val="24"/>
              </w:rPr>
            </w:pPr>
            <w:r w:rsidRPr="00340155">
              <w:rPr>
                <w:rFonts w:ascii="Times New Roman" w:hAnsi="Times New Roman" w:cs="Times New Roman"/>
                <w:sz w:val="24"/>
                <w:szCs w:val="24"/>
              </w:rPr>
              <w:t>İşletme Adı</w:t>
            </w:r>
          </w:p>
        </w:tc>
        <w:tc>
          <w:tcPr>
            <w:tcW w:w="4531" w:type="dxa"/>
          </w:tcPr>
          <w:p w:rsidR="00AB56A5" w:rsidRPr="00340155" w:rsidRDefault="00AB56A5" w:rsidP="00FD62E7">
            <w:pPr>
              <w:rPr>
                <w:rFonts w:ascii="Times New Roman" w:hAnsi="Times New Roman" w:cs="Times New Roman"/>
                <w:sz w:val="24"/>
                <w:szCs w:val="24"/>
              </w:rPr>
            </w:pPr>
          </w:p>
        </w:tc>
      </w:tr>
      <w:tr w:rsidR="00AB56A5" w:rsidRPr="00340155" w:rsidTr="00AB56A5">
        <w:trPr>
          <w:trHeight w:val="575"/>
        </w:trPr>
        <w:tc>
          <w:tcPr>
            <w:tcW w:w="4531" w:type="dxa"/>
          </w:tcPr>
          <w:p w:rsidR="00AB56A5" w:rsidRPr="00340155" w:rsidRDefault="00AB56A5" w:rsidP="00FD62E7">
            <w:pPr>
              <w:rPr>
                <w:rFonts w:ascii="Times New Roman" w:hAnsi="Times New Roman" w:cs="Times New Roman"/>
                <w:sz w:val="24"/>
                <w:szCs w:val="24"/>
              </w:rPr>
            </w:pPr>
            <w:r w:rsidRPr="00340155">
              <w:rPr>
                <w:rFonts w:ascii="Times New Roman" w:hAnsi="Times New Roman" w:cs="Times New Roman"/>
                <w:sz w:val="24"/>
                <w:szCs w:val="24"/>
              </w:rPr>
              <w:t>Fakülte /Yüksekokul/MYO Adı</w:t>
            </w:r>
          </w:p>
        </w:tc>
        <w:tc>
          <w:tcPr>
            <w:tcW w:w="4531" w:type="dxa"/>
          </w:tcPr>
          <w:p w:rsidR="00AB56A5" w:rsidRPr="00340155" w:rsidRDefault="00AB56A5" w:rsidP="00FD62E7">
            <w:pPr>
              <w:rPr>
                <w:rFonts w:ascii="Times New Roman" w:hAnsi="Times New Roman" w:cs="Times New Roman"/>
                <w:sz w:val="24"/>
                <w:szCs w:val="24"/>
              </w:rPr>
            </w:pPr>
          </w:p>
        </w:tc>
      </w:tr>
      <w:tr w:rsidR="00EF1AEA" w:rsidRPr="00340155" w:rsidTr="00AB56A5">
        <w:trPr>
          <w:trHeight w:val="575"/>
        </w:trPr>
        <w:tc>
          <w:tcPr>
            <w:tcW w:w="4531" w:type="dxa"/>
          </w:tcPr>
          <w:p w:rsidR="00EF1AEA" w:rsidRPr="00340155" w:rsidRDefault="00EF1AEA" w:rsidP="00EF1AEA">
            <w:pPr>
              <w:rPr>
                <w:rFonts w:ascii="Times New Roman" w:hAnsi="Times New Roman" w:cs="Times New Roman"/>
                <w:sz w:val="24"/>
                <w:szCs w:val="24"/>
              </w:rPr>
            </w:pPr>
            <w:r>
              <w:rPr>
                <w:rFonts w:ascii="Times New Roman" w:hAnsi="Times New Roman" w:cs="Times New Roman"/>
                <w:sz w:val="24"/>
                <w:szCs w:val="24"/>
              </w:rPr>
              <w:t>Uygulamalı Eğitim/Staj Başlangıç ve Bitiş Ta</w:t>
            </w:r>
            <w:bookmarkStart w:id="0" w:name="_GoBack"/>
            <w:bookmarkEnd w:id="0"/>
            <w:r>
              <w:rPr>
                <w:rFonts w:ascii="Times New Roman" w:hAnsi="Times New Roman" w:cs="Times New Roman"/>
                <w:sz w:val="24"/>
                <w:szCs w:val="24"/>
              </w:rPr>
              <w:t>rihi</w:t>
            </w:r>
          </w:p>
        </w:tc>
        <w:tc>
          <w:tcPr>
            <w:tcW w:w="4531" w:type="dxa"/>
          </w:tcPr>
          <w:p w:rsidR="00EF1AEA" w:rsidRPr="00340155" w:rsidRDefault="00EF1AEA" w:rsidP="00FD62E7">
            <w:pPr>
              <w:rPr>
                <w:rFonts w:ascii="Times New Roman" w:hAnsi="Times New Roman" w:cs="Times New Roman"/>
                <w:sz w:val="24"/>
                <w:szCs w:val="24"/>
              </w:rPr>
            </w:pPr>
          </w:p>
        </w:tc>
      </w:tr>
    </w:tbl>
    <w:p w:rsidR="00D7566D" w:rsidRPr="00340155" w:rsidRDefault="00D7566D" w:rsidP="00D7566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0"/>
        <w:gridCol w:w="4536"/>
      </w:tblGrid>
      <w:tr w:rsidR="00AB56A5" w:rsidRPr="00340155" w:rsidTr="00472E6D">
        <w:trPr>
          <w:trHeight w:val="566"/>
        </w:trPr>
        <w:tc>
          <w:tcPr>
            <w:tcW w:w="4390" w:type="dxa"/>
          </w:tcPr>
          <w:p w:rsidR="00AB56A5" w:rsidRPr="00340155" w:rsidRDefault="00AB56A5" w:rsidP="00AB56A5">
            <w:pPr>
              <w:jc w:val="center"/>
              <w:rPr>
                <w:rFonts w:ascii="Times New Roman" w:hAnsi="Times New Roman" w:cs="Times New Roman"/>
                <w:b/>
                <w:sz w:val="24"/>
                <w:szCs w:val="24"/>
              </w:rPr>
            </w:pPr>
            <w:r w:rsidRPr="00340155">
              <w:rPr>
                <w:rFonts w:ascii="Times New Roman" w:hAnsi="Times New Roman" w:cs="Times New Roman"/>
                <w:b/>
                <w:sz w:val="24"/>
                <w:szCs w:val="24"/>
              </w:rPr>
              <w:t>ÖĞRENCİ</w:t>
            </w:r>
          </w:p>
        </w:tc>
        <w:tc>
          <w:tcPr>
            <w:tcW w:w="4536" w:type="dxa"/>
          </w:tcPr>
          <w:p w:rsidR="00AB56A5" w:rsidRPr="00340155" w:rsidRDefault="00AB56A5" w:rsidP="00AB56A5">
            <w:pPr>
              <w:jc w:val="center"/>
              <w:rPr>
                <w:rFonts w:ascii="Times New Roman" w:hAnsi="Times New Roman" w:cs="Times New Roman"/>
                <w:b/>
                <w:sz w:val="24"/>
                <w:szCs w:val="24"/>
              </w:rPr>
            </w:pPr>
            <w:r w:rsidRPr="00340155">
              <w:rPr>
                <w:rFonts w:ascii="Times New Roman" w:hAnsi="Times New Roman" w:cs="Times New Roman"/>
                <w:b/>
                <w:sz w:val="24"/>
                <w:szCs w:val="24"/>
              </w:rPr>
              <w:t>İŞVEREN VEYA VEKİLİ</w:t>
            </w:r>
          </w:p>
        </w:tc>
      </w:tr>
      <w:tr w:rsidR="00AB56A5" w:rsidRPr="00340155" w:rsidTr="00472E6D">
        <w:trPr>
          <w:trHeight w:val="559"/>
        </w:trPr>
        <w:tc>
          <w:tcPr>
            <w:tcW w:w="4390"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Adı Soyadı</w:t>
            </w:r>
          </w:p>
        </w:tc>
        <w:tc>
          <w:tcPr>
            <w:tcW w:w="4536"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Adı Soyadı</w:t>
            </w:r>
          </w:p>
        </w:tc>
      </w:tr>
      <w:tr w:rsidR="00AB56A5" w:rsidRPr="00340155" w:rsidTr="00472E6D">
        <w:trPr>
          <w:trHeight w:val="554"/>
        </w:trPr>
        <w:tc>
          <w:tcPr>
            <w:tcW w:w="4390" w:type="dxa"/>
          </w:tcPr>
          <w:p w:rsidR="00AB56A5" w:rsidRPr="00340155" w:rsidRDefault="00AB56A5" w:rsidP="00D052F1">
            <w:pPr>
              <w:rPr>
                <w:rFonts w:ascii="Times New Roman" w:hAnsi="Times New Roman" w:cs="Times New Roman"/>
                <w:sz w:val="24"/>
                <w:szCs w:val="24"/>
              </w:rPr>
            </w:pPr>
          </w:p>
        </w:tc>
        <w:tc>
          <w:tcPr>
            <w:tcW w:w="4536"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Görevi:</w:t>
            </w:r>
          </w:p>
        </w:tc>
      </w:tr>
      <w:tr w:rsidR="00AB56A5" w:rsidRPr="00340155" w:rsidTr="00472E6D">
        <w:trPr>
          <w:trHeight w:val="561"/>
        </w:trPr>
        <w:tc>
          <w:tcPr>
            <w:tcW w:w="4390"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Tarih --/--/</w:t>
            </w:r>
            <w:proofErr w:type="gramStart"/>
            <w:r w:rsidRPr="00340155">
              <w:rPr>
                <w:rFonts w:ascii="Times New Roman" w:hAnsi="Times New Roman" w:cs="Times New Roman"/>
                <w:sz w:val="24"/>
                <w:szCs w:val="24"/>
              </w:rPr>
              <w:t>……..</w:t>
            </w:r>
            <w:proofErr w:type="gramEnd"/>
          </w:p>
        </w:tc>
        <w:tc>
          <w:tcPr>
            <w:tcW w:w="4536"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Tarih --/--/</w:t>
            </w:r>
            <w:proofErr w:type="gramStart"/>
            <w:r w:rsidRPr="00340155">
              <w:rPr>
                <w:rFonts w:ascii="Times New Roman" w:hAnsi="Times New Roman" w:cs="Times New Roman"/>
                <w:sz w:val="24"/>
                <w:szCs w:val="24"/>
              </w:rPr>
              <w:t>…….</w:t>
            </w:r>
            <w:proofErr w:type="gramEnd"/>
          </w:p>
        </w:tc>
      </w:tr>
      <w:tr w:rsidR="00AB56A5" w:rsidRPr="00340155" w:rsidTr="00472E6D">
        <w:trPr>
          <w:trHeight w:val="1123"/>
        </w:trPr>
        <w:tc>
          <w:tcPr>
            <w:tcW w:w="4390"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İmza</w:t>
            </w:r>
          </w:p>
        </w:tc>
        <w:tc>
          <w:tcPr>
            <w:tcW w:w="4536"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İmza-kaşe</w:t>
            </w:r>
          </w:p>
        </w:tc>
      </w:tr>
    </w:tbl>
    <w:p w:rsidR="00A222EE" w:rsidRPr="00340155" w:rsidRDefault="00A222EE" w:rsidP="00AB56A5">
      <w:pPr>
        <w:rPr>
          <w:rFonts w:ascii="Times New Roman" w:hAnsi="Times New Roman" w:cs="Times New Roman"/>
          <w:sz w:val="24"/>
          <w:szCs w:val="24"/>
        </w:rPr>
      </w:pPr>
    </w:p>
    <w:sectPr w:rsidR="00A222EE" w:rsidRPr="003401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67" w:rsidRDefault="003C5367" w:rsidP="00AB56A5">
      <w:pPr>
        <w:spacing w:after="0" w:line="240" w:lineRule="auto"/>
      </w:pPr>
      <w:r>
        <w:separator/>
      </w:r>
    </w:p>
  </w:endnote>
  <w:endnote w:type="continuationSeparator" w:id="0">
    <w:p w:rsidR="003C5367" w:rsidRDefault="003C5367" w:rsidP="00AB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262408"/>
      <w:docPartObj>
        <w:docPartGallery w:val="Page Numbers (Bottom of Page)"/>
        <w:docPartUnique/>
      </w:docPartObj>
    </w:sdtPr>
    <w:sdtEndPr/>
    <w:sdtContent>
      <w:p w:rsidR="00AB56A5" w:rsidRDefault="00AB56A5">
        <w:pPr>
          <w:pStyle w:val="AltBilgi"/>
          <w:jc w:val="center"/>
        </w:pPr>
        <w:r>
          <w:fldChar w:fldCharType="begin"/>
        </w:r>
        <w:r>
          <w:instrText>PAGE   \* MERGEFORMAT</w:instrText>
        </w:r>
        <w:r>
          <w:fldChar w:fldCharType="separate"/>
        </w:r>
        <w:r w:rsidR="00EF1AEA">
          <w:rPr>
            <w:noProof/>
          </w:rPr>
          <w:t>3</w:t>
        </w:r>
        <w:r>
          <w:fldChar w:fldCharType="end"/>
        </w:r>
      </w:p>
    </w:sdtContent>
  </w:sdt>
  <w:p w:rsidR="00AB56A5" w:rsidRDefault="00AB56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67" w:rsidRDefault="003C5367" w:rsidP="00AB56A5">
      <w:pPr>
        <w:spacing w:after="0" w:line="240" w:lineRule="auto"/>
      </w:pPr>
      <w:r>
        <w:separator/>
      </w:r>
    </w:p>
  </w:footnote>
  <w:footnote w:type="continuationSeparator" w:id="0">
    <w:p w:rsidR="003C5367" w:rsidRDefault="003C5367" w:rsidP="00AB5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CA3"/>
    <w:multiLevelType w:val="hybridMultilevel"/>
    <w:tmpl w:val="621C23F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5A16BC"/>
    <w:multiLevelType w:val="hybridMultilevel"/>
    <w:tmpl w:val="20BC2BBA"/>
    <w:lvl w:ilvl="0" w:tplc="1826E7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836197"/>
    <w:multiLevelType w:val="hybridMultilevel"/>
    <w:tmpl w:val="364A3FF4"/>
    <w:lvl w:ilvl="0" w:tplc="F47AA20C">
      <w:start w:val="1"/>
      <mc:AlternateContent>
        <mc:Choice Requires="w14">
          <w:numFmt w:val="custom" w:format="a, ç, ĝ, ..."/>
        </mc:Choice>
        <mc:Fallback>
          <w:numFmt w:val="decimal"/>
        </mc:Fallback>
      </mc:AlternateContent>
      <w:lvlText w:val="%1)"/>
      <w:lvlJc w:val="left"/>
      <w:pPr>
        <w:ind w:left="765" w:hanging="360"/>
      </w:pPr>
      <w:rPr>
        <w:rFonts w:hint="default"/>
      </w:rPr>
    </w:lvl>
    <w:lvl w:ilvl="1" w:tplc="007E3582">
      <w:start w:val="1"/>
      <w:numFmt w:val="lowerLetter"/>
      <w:lvlText w:val="%2."/>
      <w:lvlJc w:val="left"/>
      <w:pPr>
        <w:ind w:left="1485" w:hanging="360"/>
      </w:pPr>
      <w:rPr>
        <w:rFonts w:hint="default"/>
      </w:r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15:restartNumberingAfterBreak="0">
    <w:nsid w:val="67CB24F7"/>
    <w:multiLevelType w:val="hybridMultilevel"/>
    <w:tmpl w:val="806E7A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7752658F"/>
    <w:multiLevelType w:val="hybridMultilevel"/>
    <w:tmpl w:val="C1D21B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7A7E73B6"/>
    <w:multiLevelType w:val="hybridMultilevel"/>
    <w:tmpl w:val="A448094C"/>
    <w:lvl w:ilvl="0" w:tplc="1826E7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0"/>
    <w:rsid w:val="00021444"/>
    <w:rsid w:val="00340155"/>
    <w:rsid w:val="003C5367"/>
    <w:rsid w:val="00472E6D"/>
    <w:rsid w:val="00501890"/>
    <w:rsid w:val="00502778"/>
    <w:rsid w:val="00A222EE"/>
    <w:rsid w:val="00A96543"/>
    <w:rsid w:val="00AB56A5"/>
    <w:rsid w:val="00BA0E7A"/>
    <w:rsid w:val="00C012E0"/>
    <w:rsid w:val="00CD663E"/>
    <w:rsid w:val="00D7566D"/>
    <w:rsid w:val="00EF1AEA"/>
    <w:rsid w:val="00F04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3B2B"/>
  <w15:chartTrackingRefBased/>
  <w15:docId w15:val="{B4C7A293-F1E9-40CC-A289-A575D69C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6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6A5"/>
  </w:style>
  <w:style w:type="paragraph" w:styleId="AltBilgi">
    <w:name w:val="footer"/>
    <w:basedOn w:val="Normal"/>
    <w:link w:val="AltBilgiChar"/>
    <w:uiPriority w:val="99"/>
    <w:unhideWhenUsed/>
    <w:rsid w:val="00AB56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6A5"/>
  </w:style>
  <w:style w:type="paragraph" w:styleId="ListeParagraf">
    <w:name w:val="List Paragraph"/>
    <w:basedOn w:val="Normal"/>
    <w:uiPriority w:val="34"/>
    <w:qFormat/>
    <w:rsid w:val="0047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cp:revision>
  <dcterms:created xsi:type="dcterms:W3CDTF">2023-08-02T08:14:00Z</dcterms:created>
  <dcterms:modified xsi:type="dcterms:W3CDTF">2023-08-02T08:20:00Z</dcterms:modified>
</cp:coreProperties>
</file>